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F7" w:rsidRPr="00726092" w:rsidRDefault="00655BF7" w:rsidP="007458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6092">
        <w:rPr>
          <w:rFonts w:ascii="Times New Roman" w:hAnsi="Times New Roman" w:cs="Times New Roman"/>
          <w:b/>
          <w:bCs/>
          <w:sz w:val="36"/>
          <w:szCs w:val="36"/>
        </w:rPr>
        <w:t>Annex</w:t>
      </w:r>
      <w:r w:rsidR="00DA5604">
        <w:rPr>
          <w:rFonts w:ascii="Times New Roman" w:hAnsi="Times New Roman" w:cs="Times New Roman"/>
          <w:b/>
          <w:bCs/>
          <w:sz w:val="36"/>
          <w:szCs w:val="36"/>
        </w:rPr>
        <w:t>ure</w:t>
      </w:r>
      <w:r w:rsidRPr="00726092">
        <w:rPr>
          <w:rFonts w:ascii="Times New Roman" w:hAnsi="Times New Roman" w:cs="Times New Roman"/>
          <w:b/>
          <w:bCs/>
          <w:sz w:val="36"/>
          <w:szCs w:val="36"/>
        </w:rPr>
        <w:t>IV</w:t>
      </w:r>
    </w:p>
    <w:p w:rsidR="00655BF7" w:rsidRPr="00726092" w:rsidRDefault="00655BF7" w:rsidP="007458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6092">
        <w:rPr>
          <w:rFonts w:ascii="Times New Roman" w:hAnsi="Times New Roman" w:cs="Times New Roman"/>
          <w:b/>
          <w:bCs/>
          <w:sz w:val="36"/>
          <w:szCs w:val="36"/>
        </w:rPr>
        <w:t xml:space="preserve">Memorandum for Empowered </w:t>
      </w:r>
      <w:r w:rsidR="00A26CE7">
        <w:rPr>
          <w:rFonts w:ascii="Times New Roman" w:hAnsi="Times New Roman" w:cs="Times New Roman"/>
          <w:b/>
          <w:bCs/>
          <w:sz w:val="36"/>
          <w:szCs w:val="36"/>
        </w:rPr>
        <w:t>Committee</w:t>
      </w:r>
    </w:p>
    <w:p w:rsidR="00793792" w:rsidRDefault="00655BF7" w:rsidP="007458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26092">
        <w:rPr>
          <w:rFonts w:ascii="Times New Roman" w:hAnsi="Times New Roman" w:cs="Times New Roman"/>
          <w:b/>
          <w:bCs/>
          <w:sz w:val="36"/>
          <w:szCs w:val="36"/>
        </w:rPr>
        <w:t>Scheme for Financial Support to PPPs in Infrastructure</w:t>
      </w:r>
    </w:p>
    <w:p w:rsidR="00726092" w:rsidRPr="00726092" w:rsidRDefault="00726092" w:rsidP="00655BF7">
      <w:pPr>
        <w:rPr>
          <w:rFonts w:ascii="Times New Roman" w:hAnsi="Times New Roman" w:cs="Times New Roman"/>
          <w:sz w:val="36"/>
          <w:szCs w:val="36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12"/>
        <w:gridCol w:w="4191"/>
        <w:gridCol w:w="5237"/>
      </w:tblGrid>
      <w:tr w:rsidR="00726092" w:rsidRPr="00726092" w:rsidTr="00CE4924">
        <w:trPr>
          <w:trHeight w:val="351"/>
          <w:tblHeader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20"/>
                <w:sz w:val="21"/>
              </w:rPr>
              <w:t>S. No.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ind w:left="1833" w:right="1823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25"/>
                <w:sz w:val="21"/>
              </w:rPr>
              <w:t>It</w:t>
            </w:r>
            <w:r w:rsidR="00726092">
              <w:rPr>
                <w:rFonts w:ascii="Times New Roman" w:hAnsi="Times New Roman" w:cs="Times New Roman"/>
                <w:b/>
                <w:bCs/>
                <w:w w:val="125"/>
                <w:sz w:val="21"/>
              </w:rPr>
              <w:t>e</w:t>
            </w:r>
            <w:r w:rsidRPr="00726092">
              <w:rPr>
                <w:rFonts w:ascii="Times New Roman" w:hAnsi="Times New Roman" w:cs="Times New Roman"/>
                <w:b/>
                <w:bCs/>
                <w:w w:val="125"/>
                <w:sz w:val="21"/>
              </w:rPr>
              <w:t>m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ind w:left="1894" w:right="188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Response</w:t>
            </w: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0"/>
                <w:sz w:val="21"/>
              </w:rPr>
              <w:t>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General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Name of the Project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1.2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Type of PPP (BOT, BOOT, BOLT, OMT etc.)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1.3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Location (State/District/Town)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87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1.4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 w:line="256" w:lineRule="auto"/>
              <w:ind w:right="211"/>
              <w:jc w:val="both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Central Ministry/State Government/Statutory Authority p</w:t>
            </w:r>
            <w:r w:rsidR="00CE4924">
              <w:rPr>
                <w:rFonts w:ascii="Times New Roman" w:hAnsi="Times New Roman" w:cs="Times New Roman"/>
                <w:sz w:val="21"/>
              </w:rPr>
              <w:t>rop</w:t>
            </w:r>
            <w:r w:rsidRPr="00726092">
              <w:rPr>
                <w:rFonts w:ascii="Times New Roman" w:hAnsi="Times New Roman" w:cs="Times New Roman"/>
                <w:sz w:val="21"/>
              </w:rPr>
              <w:t>osing the project as owner of the underlying assets (see Rule 5.1)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87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1.5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 w:line="256" w:lineRule="auto"/>
              <w:ind w:right="470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Name of the Government/statutory entity which will sign the concession agreement 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definition)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87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1.6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 w:line="256" w:lineRule="auto"/>
              <w:ind w:right="493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Whether the contract/concession is to be awarded to a private sector company</w:t>
            </w:r>
          </w:p>
          <w:p w:rsidR="00655BF7" w:rsidRPr="00726092" w:rsidRDefault="00655BF7" w:rsidP="00633EBB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definition)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113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1.7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 w:line="256" w:lineRule="auto"/>
              <w:ind w:right="470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Will the private sector company be responsible for financing, construction, maintenance and operation of the project 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 3.1)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0"/>
                <w:sz w:val="21"/>
              </w:rPr>
              <w:t>2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Project Description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2.1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Brief description of the project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2.2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Justification for the project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2.3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Possible alternatives, if any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113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2.4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 w:line="256" w:lineRule="auto"/>
              <w:ind w:right="262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Estimated total project cost with break-up under major heads of expenditure. Also indicate the basis of cost estimation.</w:t>
            </w:r>
          </w:p>
          <w:p w:rsidR="00655BF7" w:rsidRPr="00726092" w:rsidRDefault="00655BF7" w:rsidP="00633EBB">
            <w:pPr>
              <w:pStyle w:val="TableParagraph"/>
              <w:spacing w:before="0" w:line="242" w:lineRule="exact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definition)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2.5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Phasing of investment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2.6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Project Implementation Schedule (PIS)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3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Financing Arrangements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Sources of financing (equity, debt, mezzanine capital etc.)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3.2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 xml:space="preserve">Indicate the revenue streams of the Project (annual flows over project life). Also indicate </w:t>
            </w:r>
            <w:r w:rsidRPr="00726092">
              <w:rPr>
                <w:rFonts w:ascii="Times New Roman" w:hAnsi="Times New Roman" w:cs="Times New Roman"/>
                <w:sz w:val="21"/>
              </w:rPr>
              <w:lastRenderedPageBreak/>
              <w:t>the underlying assumptions.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lastRenderedPageBreak/>
              <w:t>3.3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Indicate the NPV of revenue streams with 12 percent discounting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3.4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Who will fix the tariff/user charges? Please specify the process in detail.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3.5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Will the project have pre-determined user charges/tariffs (see Rule 3.1)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3.6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 xml:space="preserve">Can the user charges/tariffs be increased for reducing the viability gap? If no, please furnish the certificate as per </w:t>
            </w:r>
            <w:r w:rsidR="00A63CB8">
              <w:rPr>
                <w:rFonts w:ascii="Times New Roman" w:hAnsi="Times New Roman" w:cs="Times New Roman"/>
                <w:sz w:val="21"/>
              </w:rPr>
              <w:t>Annexure VI</w:t>
            </w:r>
            <w:r w:rsidRPr="00726092">
              <w:rPr>
                <w:rFonts w:ascii="Times New Roman" w:hAnsi="Times New Roman" w:cs="Times New Roman"/>
                <w:sz w:val="21"/>
              </w:rPr>
              <w:t>.</w:t>
            </w:r>
          </w:p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(see Rule 3.1)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3.7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 xml:space="preserve">Can the concession period be increased for reducing the viability gap? If no, please furnish the certificate as per </w:t>
            </w:r>
            <w:r w:rsidR="00A63CB8">
              <w:rPr>
                <w:rFonts w:ascii="Times New Roman" w:hAnsi="Times New Roman" w:cs="Times New Roman"/>
                <w:sz w:val="21"/>
              </w:rPr>
              <w:t>Annexure VII</w:t>
            </w:r>
            <w:r w:rsidRPr="00726092">
              <w:rPr>
                <w:rFonts w:ascii="Times New Roman" w:hAnsi="Times New Roman" w:cs="Times New Roman"/>
                <w:sz w:val="21"/>
              </w:rPr>
              <w:t>.</w:t>
            </w:r>
          </w:p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(see Rule 3.1)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3.8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Can the total project costs be restricted or phased out for reducing the viability gap? If no, please furnish the certificate as per</w:t>
            </w:r>
          </w:p>
          <w:p w:rsidR="00655BF7" w:rsidRPr="00726092" w:rsidRDefault="00A63CB8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Annexure VIII</w:t>
            </w:r>
            <w:r w:rsidR="00655BF7" w:rsidRPr="00A63CB8">
              <w:rPr>
                <w:rFonts w:ascii="Times New Roman" w:hAnsi="Times New Roman" w:cs="Times New Roman"/>
                <w:sz w:val="21"/>
              </w:rPr>
              <w:t>.</w:t>
            </w:r>
            <w:r w:rsidR="00655BF7" w:rsidRPr="00726092">
              <w:rPr>
                <w:rFonts w:ascii="Times New Roman" w:hAnsi="Times New Roman" w:cs="Times New Roman"/>
                <w:sz w:val="21"/>
              </w:rPr>
              <w:t xml:space="preserve"> (see Rule 3.1)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3.9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Have any FIs been approached for funding the project? If yes, there response may be indicated.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4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IRR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4.1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Economic IRR (if computed)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4.2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Financial IRR, indicating various assumptions (attach separate sheet if necessary)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5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Clearances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5.1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In case the project is owned by the Central Government or its statutory entities, the status of PPPAC approval may be indicated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5.2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Status of environmental clearances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5.3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Clearance required from the State Government and other local bodies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5.4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Other support required from the State Government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6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sz w:val="21"/>
              </w:rPr>
              <w:t>GoI Support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655BF7" w:rsidRPr="00726092" w:rsidRDefault="00655BF7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6.1</w:t>
            </w:r>
          </w:p>
        </w:tc>
        <w:tc>
          <w:tcPr>
            <w:tcW w:w="4191" w:type="dxa"/>
            <w:shd w:val="clear" w:color="auto" w:fill="auto"/>
          </w:tcPr>
          <w:p w:rsidR="00655BF7" w:rsidRPr="00726092" w:rsidRDefault="00655BF7" w:rsidP="00655BF7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Likely amount of VGF required for the project (also indicate as percent of item 2.4)</w:t>
            </w:r>
          </w:p>
        </w:tc>
        <w:tc>
          <w:tcPr>
            <w:tcW w:w="5237" w:type="dxa"/>
            <w:shd w:val="clear" w:color="auto" w:fill="auto"/>
          </w:tcPr>
          <w:p w:rsidR="00655BF7" w:rsidRPr="00726092" w:rsidRDefault="00655BF7" w:rsidP="00633EB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6.2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 xml:space="preserve">Will the </w:t>
            </w:r>
            <w:r w:rsidRPr="00726092">
              <w:rPr>
                <w:rFonts w:ascii="Times New Roman" w:hAnsi="Times New Roman" w:cs="Times New Roman"/>
                <w:spacing w:val="-3"/>
                <w:sz w:val="21"/>
              </w:rPr>
              <w:t xml:space="preserve">VGF </w:t>
            </w:r>
            <w:r w:rsidRPr="00726092">
              <w:rPr>
                <w:rFonts w:ascii="Times New Roman" w:hAnsi="Times New Roman" w:cs="Times New Roman"/>
                <w:sz w:val="21"/>
              </w:rPr>
              <w:t xml:space="preserve">be used as a capital grant at </w:t>
            </w:r>
            <w:r w:rsidRPr="00726092">
              <w:rPr>
                <w:rFonts w:ascii="Times New Roman" w:hAnsi="Times New Roman" w:cs="Times New Roman"/>
                <w:spacing w:val="-5"/>
                <w:sz w:val="21"/>
              </w:rPr>
              <w:t xml:space="preserve">the </w:t>
            </w:r>
            <w:r w:rsidRPr="00726092">
              <w:rPr>
                <w:rFonts w:ascii="Times New Roman" w:hAnsi="Times New Roman" w:cs="Times New Roman"/>
                <w:sz w:val="21"/>
              </w:rPr>
              <w:t xml:space="preserve">stage of project construction? If </w:t>
            </w:r>
            <w:r w:rsidRPr="00726092">
              <w:rPr>
                <w:rFonts w:ascii="Times New Roman" w:hAnsi="Times New Roman" w:cs="Times New Roman"/>
                <w:spacing w:val="-3"/>
                <w:sz w:val="21"/>
              </w:rPr>
              <w:t xml:space="preserve">no, </w:t>
            </w:r>
            <w:r w:rsidRPr="00726092">
              <w:rPr>
                <w:rFonts w:ascii="Times New Roman" w:hAnsi="Times New Roman" w:cs="Times New Roman"/>
                <w:sz w:val="21"/>
              </w:rPr>
              <w:t>please furnish details of the alternative proposal. 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 4.2)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6.3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 xml:space="preserve">Will the sponsoring Ministry/State Government/statutory entity provide any assistance in addition to the VGF under this </w:t>
            </w:r>
            <w:r w:rsidRPr="00726092">
              <w:rPr>
                <w:rFonts w:ascii="Times New Roman" w:hAnsi="Times New Roman" w:cs="Times New Roman"/>
                <w:sz w:val="21"/>
              </w:rPr>
              <w:lastRenderedPageBreak/>
              <w:t>Scheme? If yes, please furnish details.</w:t>
            </w:r>
          </w:p>
          <w:p w:rsidR="00726092" w:rsidRPr="00726092" w:rsidRDefault="00726092" w:rsidP="00726092">
            <w:pPr>
              <w:pStyle w:val="TableParagraph"/>
              <w:spacing w:before="54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 4.1)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lastRenderedPageBreak/>
              <w:t>6.4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Is there any other Scheme of the Central Government under which this project is eligible for financial assistance? If yes, indicate the details thereof. 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 5.</w:t>
            </w:r>
            <w:r w:rsidR="005004E4">
              <w:rPr>
                <w:rFonts w:ascii="Times New Roman" w:hAnsi="Times New Roman" w:cs="Times New Roman"/>
                <w:sz w:val="21"/>
              </w:rPr>
              <w:t>6</w:t>
            </w:r>
            <w:r w:rsidRPr="00726092">
              <w:rPr>
                <w:rFonts w:ascii="Times New Roman" w:hAnsi="Times New Roman" w:cs="Times New Roman"/>
                <w:sz w:val="21"/>
              </w:rPr>
              <w:t>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0"/>
                <w:sz w:val="21"/>
              </w:rPr>
              <w:t>7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Concession Agreement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w w:val="110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7.1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Is the Concession Agreement based on a duly approved model concession agreement? If yes, indicate the details thereof (in a note to be attached) along with a copy of the MCA.</w:t>
            </w:r>
          </w:p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w w:val="115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Rules 5.2 and 5.4)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7.2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Have any variations in the MCA been proposed? If yes, please provide a detailed note. (to be attached)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7.3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 xml:space="preserve">Details of the Concession Agreement (attached at </w:t>
            </w:r>
            <w:r w:rsidR="00A63CB8">
              <w:rPr>
                <w:rFonts w:ascii="Times New Roman" w:hAnsi="Times New Roman" w:cs="Times New Roman"/>
                <w:sz w:val="21"/>
              </w:rPr>
              <w:t xml:space="preserve">Annexure </w:t>
            </w:r>
            <w:r w:rsidR="00CE4924">
              <w:rPr>
                <w:rFonts w:ascii="Times New Roman" w:hAnsi="Times New Roman" w:cs="Times New Roman"/>
                <w:sz w:val="21"/>
              </w:rPr>
              <w:t>IX)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0"/>
                <w:sz w:val="21"/>
              </w:rPr>
              <w:t>8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Criteria for short-listing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w w:val="110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8.1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w w:val="115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Is short-listing to be in one stage or two stages?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8.2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Indicate the criteria for short-listing (attach separate sheet if necessary)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0"/>
                <w:sz w:val="21"/>
              </w:rPr>
              <w:t>9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Criteria for Bidding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w w:val="110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9.1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w w:val="115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Will the bidding parameter be the minimum VGF required? If no, please indicate the bidding parameter(s). 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Rules 3.1 and 6.1)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9.2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Have all other conditions, specifications and project agreements been frozen prior to inviting financial bids? If no, please furnish the details with justification thereof. (</w:t>
            </w:r>
            <w:r w:rsidRPr="00726092">
              <w:rPr>
                <w:rFonts w:ascii="Times New Roman" w:hAnsi="Times New Roman" w:cs="Times New Roman"/>
                <w:i/>
                <w:sz w:val="21"/>
              </w:rPr>
              <w:t xml:space="preserve">see </w:t>
            </w:r>
            <w:r w:rsidRPr="00726092">
              <w:rPr>
                <w:rFonts w:ascii="Times New Roman" w:hAnsi="Times New Roman" w:cs="Times New Roman"/>
                <w:sz w:val="21"/>
              </w:rPr>
              <w:t>Rule 6.1)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0"/>
                <w:sz w:val="21"/>
              </w:rPr>
              <w:t>10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b/>
                <w:bCs/>
                <w:sz w:val="21"/>
              </w:rPr>
            </w:pPr>
            <w:r w:rsidRPr="00726092">
              <w:rPr>
                <w:rFonts w:ascii="Times New Roman" w:hAnsi="Times New Roman" w:cs="Times New Roman"/>
                <w:b/>
                <w:bCs/>
                <w:w w:val="115"/>
                <w:sz w:val="21"/>
              </w:rPr>
              <w:t>Others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726092" w:rsidRPr="00726092" w:rsidTr="00FD7453">
        <w:trPr>
          <w:trHeight w:val="353"/>
        </w:trPr>
        <w:tc>
          <w:tcPr>
            <w:tcW w:w="1012" w:type="dxa"/>
            <w:shd w:val="clear" w:color="auto" w:fill="auto"/>
          </w:tcPr>
          <w:p w:rsidR="00726092" w:rsidRPr="00726092" w:rsidRDefault="00726092" w:rsidP="00FD7453">
            <w:pPr>
              <w:pStyle w:val="TableParagraph"/>
              <w:spacing w:before="54"/>
              <w:jc w:val="center"/>
              <w:rPr>
                <w:rFonts w:ascii="Times New Roman" w:hAnsi="Times New Roman" w:cs="Times New Roman"/>
                <w:w w:val="110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10.1</w:t>
            </w:r>
          </w:p>
        </w:tc>
        <w:tc>
          <w:tcPr>
            <w:tcW w:w="4191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line="256" w:lineRule="auto"/>
              <w:rPr>
                <w:rFonts w:ascii="Times New Roman" w:hAnsi="Times New Roman" w:cs="Times New Roman"/>
                <w:w w:val="115"/>
                <w:sz w:val="21"/>
              </w:rPr>
            </w:pPr>
            <w:r w:rsidRPr="00726092">
              <w:rPr>
                <w:rFonts w:ascii="Times New Roman" w:hAnsi="Times New Roman" w:cs="Times New Roman"/>
                <w:sz w:val="21"/>
              </w:rPr>
              <w:t>Remarks, if any</w:t>
            </w:r>
          </w:p>
        </w:tc>
        <w:tc>
          <w:tcPr>
            <w:tcW w:w="5237" w:type="dxa"/>
            <w:shd w:val="clear" w:color="auto" w:fill="auto"/>
          </w:tcPr>
          <w:p w:rsidR="00726092" w:rsidRPr="00726092" w:rsidRDefault="00726092" w:rsidP="00726092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55BF7" w:rsidRPr="00726092" w:rsidRDefault="00655BF7" w:rsidP="00726092">
      <w:pPr>
        <w:rPr>
          <w:rFonts w:ascii="Times New Roman" w:hAnsi="Times New Roman" w:cs="Times New Roman"/>
        </w:rPr>
      </w:pPr>
    </w:p>
    <w:p w:rsidR="00655BF7" w:rsidRPr="00726092" w:rsidRDefault="00726092" w:rsidP="00655BF7">
      <w:pPr>
        <w:rPr>
          <w:rFonts w:ascii="Times New Roman" w:hAnsi="Times New Roman" w:cs="Times New Roman"/>
        </w:rPr>
      </w:pPr>
      <w:r w:rsidRPr="00726092">
        <w:rPr>
          <w:rFonts w:ascii="Times New Roman" w:hAnsi="Times New Roman" w:cs="Times New Roman"/>
          <w:i/>
          <w:color w:val="231F20"/>
          <w:sz w:val="20"/>
        </w:rPr>
        <w:t xml:space="preserve">Download format from </w:t>
      </w:r>
      <w:hyperlink r:id="rId4">
        <w:r w:rsidRPr="00726092">
          <w:rPr>
            <w:rFonts w:ascii="Times New Roman" w:hAnsi="Times New Roman" w:cs="Times New Roman"/>
            <w:i/>
            <w:color w:val="231F20"/>
            <w:sz w:val="20"/>
          </w:rPr>
          <w:t>www.pppinindia.com</w:t>
        </w:r>
      </w:hyperlink>
    </w:p>
    <w:p w:rsidR="00726092" w:rsidRPr="00726092" w:rsidRDefault="00726092" w:rsidP="003E31A3">
      <w:pPr>
        <w:pageBreakBefore/>
        <w:jc w:val="both"/>
        <w:rPr>
          <w:rFonts w:ascii="Times New Roman" w:hAnsi="Times New Roman" w:cs="Times New Roman"/>
        </w:rPr>
      </w:pPr>
      <w:r w:rsidRPr="00726092">
        <w:rPr>
          <w:rFonts w:ascii="Times New Roman" w:hAnsi="Times New Roman" w:cs="Times New Roman"/>
        </w:rPr>
        <w:lastRenderedPageBreak/>
        <w:t>The</w:t>
      </w:r>
      <w:r>
        <w:rPr>
          <w:rFonts w:ascii="Times New Roman" w:hAnsi="Times New Roman" w:cs="Times New Roman"/>
        </w:rPr>
        <w:t xml:space="preserve"> …………………..</w:t>
      </w:r>
      <w:r w:rsidRPr="00726092">
        <w:rPr>
          <w:rFonts w:ascii="Times New Roman" w:hAnsi="Times New Roman" w:cs="Times New Roman"/>
        </w:rPr>
        <w:t>(name of project) has been submitted by the undersigned as the duly authorised officer</w:t>
      </w:r>
      <w:r>
        <w:rPr>
          <w:rFonts w:ascii="Times New Roman" w:hAnsi="Times New Roman" w:cs="Times New Roman"/>
        </w:rPr>
        <w:t xml:space="preserve"> o</w:t>
      </w:r>
      <w:r w:rsidRPr="0072609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…………………..</w:t>
      </w:r>
      <w:r w:rsidRPr="00726092">
        <w:rPr>
          <w:rFonts w:ascii="Times New Roman" w:hAnsi="Times New Roman" w:cs="Times New Roman"/>
        </w:rPr>
        <w:t>(name of Ministry, State Government or Statutory Authority, as the case may be) forseeking Viability Gap Funding under the Scheme for Financial Support to PPPs in Infrastructure.</w:t>
      </w:r>
    </w:p>
    <w:p w:rsidR="00726092" w:rsidRPr="00726092" w:rsidRDefault="00726092" w:rsidP="003E31A3">
      <w:pPr>
        <w:jc w:val="both"/>
        <w:rPr>
          <w:rFonts w:ascii="Times New Roman" w:hAnsi="Times New Roman" w:cs="Times New Roman"/>
        </w:rPr>
      </w:pPr>
      <w:r w:rsidRPr="00726092">
        <w:rPr>
          <w:rFonts w:ascii="Times New Roman" w:hAnsi="Times New Roman" w:cs="Times New Roman"/>
        </w:rPr>
        <w:t>It is certified that the proposal complies with the provisions and eligibility criteria specified in the aforesaid Scheme.</w:t>
      </w:r>
    </w:p>
    <w:p w:rsidR="00726092" w:rsidRPr="00726092" w:rsidRDefault="00726092" w:rsidP="003E31A3">
      <w:pPr>
        <w:jc w:val="both"/>
        <w:rPr>
          <w:rFonts w:ascii="Times New Roman" w:hAnsi="Times New Roman" w:cs="Times New Roman"/>
        </w:rPr>
      </w:pPr>
      <w:r w:rsidRPr="00726092">
        <w:rPr>
          <w:rFonts w:ascii="Times New Roman" w:hAnsi="Times New Roman" w:cs="Times New Roman"/>
        </w:rPr>
        <w:t>The above statements as also the information contained in the enclosures are true to the best of my knowledge and belief.</w:t>
      </w:r>
    </w:p>
    <w:p w:rsidR="00726092" w:rsidRPr="00726092" w:rsidRDefault="00726092" w:rsidP="00726092">
      <w:pPr>
        <w:jc w:val="right"/>
        <w:rPr>
          <w:rFonts w:ascii="Times New Roman" w:hAnsi="Times New Roman" w:cs="Times New Roman"/>
        </w:rPr>
      </w:pPr>
    </w:p>
    <w:p w:rsidR="00726092" w:rsidRPr="00726092" w:rsidRDefault="00726092" w:rsidP="00726092">
      <w:pPr>
        <w:jc w:val="right"/>
        <w:rPr>
          <w:rFonts w:ascii="Times New Roman" w:hAnsi="Times New Roman" w:cs="Times New Roman"/>
        </w:rPr>
      </w:pPr>
    </w:p>
    <w:p w:rsidR="00726092" w:rsidRPr="00726092" w:rsidRDefault="00726092" w:rsidP="00726092">
      <w:pPr>
        <w:jc w:val="right"/>
        <w:rPr>
          <w:rFonts w:ascii="Times New Roman" w:hAnsi="Times New Roman" w:cs="Times New Roman"/>
          <w:i/>
          <w:iCs/>
        </w:rPr>
      </w:pPr>
    </w:p>
    <w:p w:rsidR="00726092" w:rsidRPr="00726092" w:rsidRDefault="00726092" w:rsidP="00726092">
      <w:pPr>
        <w:rPr>
          <w:rFonts w:ascii="Times New Roman" w:hAnsi="Times New Roman" w:cs="Times New Roman"/>
          <w:i/>
          <w:iCs/>
        </w:rPr>
      </w:pPr>
      <w:r w:rsidRPr="00726092">
        <w:rPr>
          <w:rFonts w:ascii="Times New Roman" w:hAnsi="Times New Roman" w:cs="Times New Roman"/>
          <w:i/>
          <w:iCs/>
        </w:rPr>
        <w:t>Dated:</w:t>
      </w:r>
      <w:r w:rsidRPr="00726092">
        <w:rPr>
          <w:rFonts w:ascii="Times New Roman" w:hAnsi="Times New Roman" w:cs="Times New Roman"/>
          <w:i/>
          <w:iCs/>
        </w:rPr>
        <w:tab/>
      </w:r>
      <w:r w:rsidR="00CE4924">
        <w:rPr>
          <w:rFonts w:ascii="Times New Roman" w:hAnsi="Times New Roman" w:cs="Times New Roman"/>
          <w:i/>
          <w:iCs/>
        </w:rPr>
        <w:t xml:space="preserve">  (</w:t>
      </w:r>
      <w:r w:rsidRPr="00726092">
        <w:rPr>
          <w:rFonts w:ascii="Times New Roman" w:hAnsi="Times New Roman" w:cs="Times New Roman"/>
          <w:i/>
          <w:iCs/>
        </w:rPr>
        <w:t>Name and designation of</w:t>
      </w:r>
    </w:p>
    <w:p w:rsidR="00726092" w:rsidRPr="00726092" w:rsidRDefault="00726092" w:rsidP="00726092">
      <w:pPr>
        <w:jc w:val="right"/>
        <w:rPr>
          <w:rFonts w:ascii="Times New Roman" w:hAnsi="Times New Roman" w:cs="Times New Roman"/>
          <w:i/>
          <w:iCs/>
        </w:rPr>
      </w:pPr>
      <w:r w:rsidRPr="00726092">
        <w:rPr>
          <w:rFonts w:ascii="Times New Roman" w:hAnsi="Times New Roman" w:cs="Times New Roman"/>
          <w:i/>
          <w:iCs/>
        </w:rPr>
        <w:t>Officer alongwith official stamp)</w:t>
      </w:r>
    </w:p>
    <w:p w:rsidR="00655BF7" w:rsidRPr="00726092" w:rsidRDefault="00655BF7" w:rsidP="00655BF7">
      <w:pPr>
        <w:rPr>
          <w:rFonts w:ascii="Times New Roman" w:hAnsi="Times New Roman" w:cs="Times New Roman"/>
        </w:rPr>
      </w:pPr>
    </w:p>
    <w:p w:rsidR="00655BF7" w:rsidRPr="00726092" w:rsidRDefault="00655BF7" w:rsidP="00655BF7">
      <w:pPr>
        <w:rPr>
          <w:rFonts w:ascii="Times New Roman" w:hAnsi="Times New Roman" w:cs="Times New Roman"/>
        </w:rPr>
      </w:pPr>
    </w:p>
    <w:p w:rsidR="00655BF7" w:rsidRPr="00726092" w:rsidRDefault="00655BF7" w:rsidP="00655BF7">
      <w:pPr>
        <w:rPr>
          <w:rFonts w:ascii="Times New Roman" w:hAnsi="Times New Roman" w:cs="Times New Roman"/>
        </w:rPr>
      </w:pPr>
    </w:p>
    <w:sectPr w:rsidR="00655BF7" w:rsidRPr="00726092" w:rsidSect="0054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Bold">
    <w:altName w:val="GillSans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BF7"/>
    <w:rsid w:val="000B4C8E"/>
    <w:rsid w:val="00326661"/>
    <w:rsid w:val="003C4049"/>
    <w:rsid w:val="003D7486"/>
    <w:rsid w:val="003E31A3"/>
    <w:rsid w:val="004B5E04"/>
    <w:rsid w:val="005004E4"/>
    <w:rsid w:val="0054686B"/>
    <w:rsid w:val="00655BF7"/>
    <w:rsid w:val="00726092"/>
    <w:rsid w:val="0074582D"/>
    <w:rsid w:val="00A26CE7"/>
    <w:rsid w:val="00A63CB8"/>
    <w:rsid w:val="00CE4924"/>
    <w:rsid w:val="00DA5604"/>
    <w:rsid w:val="00E17353"/>
    <w:rsid w:val="00EA757B"/>
    <w:rsid w:val="00FD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5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0">
    <w:name w:val="Pa50"/>
    <w:basedOn w:val="Normal"/>
    <w:next w:val="Normal"/>
    <w:uiPriority w:val="99"/>
    <w:rsid w:val="00655BF7"/>
    <w:pPr>
      <w:autoSpaceDE w:val="0"/>
      <w:autoSpaceDN w:val="0"/>
      <w:adjustRightInd w:val="0"/>
      <w:spacing w:after="0" w:line="181" w:lineRule="atLeast"/>
    </w:pPr>
    <w:rPr>
      <w:rFonts w:ascii="GillSans-Bold" w:hAnsi="GillSans-Bold"/>
      <w:sz w:val="24"/>
      <w:szCs w:val="24"/>
    </w:rPr>
  </w:style>
  <w:style w:type="character" w:customStyle="1" w:styleId="A14">
    <w:name w:val="A14"/>
    <w:uiPriority w:val="99"/>
    <w:rsid w:val="00655BF7"/>
    <w:rPr>
      <w:rFonts w:cs="GillSans-Bold"/>
      <w:color w:val="FFFFFF"/>
      <w:sz w:val="21"/>
      <w:szCs w:val="21"/>
    </w:rPr>
  </w:style>
  <w:style w:type="paragraph" w:customStyle="1" w:styleId="Pa17">
    <w:name w:val="Pa17"/>
    <w:basedOn w:val="Normal"/>
    <w:next w:val="Normal"/>
    <w:uiPriority w:val="99"/>
    <w:rsid w:val="00655BF7"/>
    <w:pPr>
      <w:autoSpaceDE w:val="0"/>
      <w:autoSpaceDN w:val="0"/>
      <w:adjustRightInd w:val="0"/>
      <w:spacing w:after="0" w:line="241" w:lineRule="atLeast"/>
    </w:pPr>
    <w:rPr>
      <w:rFonts w:ascii="GillSans-Bold" w:hAnsi="GillSans-Bold"/>
      <w:sz w:val="24"/>
      <w:szCs w:val="24"/>
    </w:rPr>
  </w:style>
  <w:style w:type="paragraph" w:customStyle="1" w:styleId="Pa51">
    <w:name w:val="Pa51"/>
    <w:basedOn w:val="Normal"/>
    <w:next w:val="Normal"/>
    <w:uiPriority w:val="99"/>
    <w:rsid w:val="00655BF7"/>
    <w:pPr>
      <w:autoSpaceDE w:val="0"/>
      <w:autoSpaceDN w:val="0"/>
      <w:adjustRightInd w:val="0"/>
      <w:spacing w:after="0" w:line="181" w:lineRule="atLeast"/>
    </w:pPr>
    <w:rPr>
      <w:rFonts w:ascii="GillSans-Bold" w:hAnsi="GillSans-Bold"/>
      <w:sz w:val="24"/>
      <w:szCs w:val="24"/>
    </w:rPr>
  </w:style>
  <w:style w:type="paragraph" w:customStyle="1" w:styleId="Default">
    <w:name w:val="Default"/>
    <w:rsid w:val="00655BF7"/>
    <w:pPr>
      <w:autoSpaceDE w:val="0"/>
      <w:autoSpaceDN w:val="0"/>
      <w:adjustRightInd w:val="0"/>
      <w:spacing w:after="0" w:line="240" w:lineRule="auto"/>
    </w:pPr>
    <w:rPr>
      <w:rFonts w:ascii="GillSans-Bold" w:hAnsi="GillSans-Bold" w:cs="GillSans-Bold"/>
      <w:color w:val="000000"/>
      <w:sz w:val="24"/>
      <w:szCs w:val="24"/>
    </w:rPr>
  </w:style>
  <w:style w:type="paragraph" w:customStyle="1" w:styleId="Pa49">
    <w:name w:val="Pa49"/>
    <w:basedOn w:val="Default"/>
    <w:next w:val="Default"/>
    <w:uiPriority w:val="99"/>
    <w:rsid w:val="00655BF7"/>
    <w:pPr>
      <w:spacing w:line="24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655BF7"/>
    <w:pPr>
      <w:widowControl w:val="0"/>
      <w:autoSpaceDE w:val="0"/>
      <w:autoSpaceDN w:val="0"/>
      <w:spacing w:before="53" w:after="0" w:line="240" w:lineRule="auto"/>
      <w:ind w:left="86"/>
    </w:pPr>
    <w:rPr>
      <w:rFonts w:ascii="Gill Sans MT" w:eastAsia="Gill Sans MT" w:hAnsi="Gill Sans MT" w:cs="Gill Sans M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ppinin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Thakur, Siddhant</dc:creator>
  <cp:keywords/>
  <dc:description/>
  <cp:lastModifiedBy>Kartik Agrawal</cp:lastModifiedBy>
  <cp:revision>3</cp:revision>
  <dcterms:created xsi:type="dcterms:W3CDTF">2020-11-19T06:39:00Z</dcterms:created>
  <dcterms:modified xsi:type="dcterms:W3CDTF">2020-11-27T05:09:00Z</dcterms:modified>
</cp:coreProperties>
</file>